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spacing w:lineRule="auto" w:line="228"/>
        <w:ind w:left="0" w:firstLine="709"/>
        <w:jc w:val="right"/>
        <w:outlineLv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Приложение № </w:t>
      </w:r>
      <w:r>
        <w:rPr>
          <w:rFonts w:eastAsia="Times New Roman" w:cs="Times New Roman"/>
          <w:sz w:val="28"/>
          <w:szCs w:val="28"/>
          <w:lang w:eastAsia="ru-RU"/>
        </w:rPr>
        <w:t>33</w:t>
      </w:r>
    </w:p>
    <w:p>
      <w:pPr>
        <w:pStyle w:val="ConsPlusNormal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Тарифному соглашению</w:t>
      </w:r>
    </w:p>
    <w:p>
      <w:pPr>
        <w:pStyle w:val="ConsPlusNormal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сфере обязательного медицинского страхования</w:t>
      </w:r>
    </w:p>
    <w:p>
      <w:pPr>
        <w:pStyle w:val="ConsPlusNormal"/>
        <w:numPr>
          <w:ilvl w:val="0"/>
          <w:numId w:val="0"/>
        </w:numPr>
        <w:spacing w:lineRule="auto" w:line="228"/>
        <w:ind w:left="0" w:firstLine="709"/>
        <w:jc w:val="right"/>
        <w:outlineLvl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территории Ивановской области на 2023 год </w:t>
      </w:r>
    </w:p>
    <w:p>
      <w:pPr>
        <w:pStyle w:val="Normal"/>
        <w:spacing w:before="0" w:after="0"/>
        <w:contextualSpacing/>
        <w:rPr/>
      </w:pPr>
      <w:r>
        <w:rPr/>
      </w:r>
    </w:p>
    <w:p>
      <w:pPr>
        <w:pStyle w:val="ConsPlusTitle"/>
        <w:spacing w:before="0" w:after="200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Тарифы на услуги диализа в стационарных условиях</w:t>
      </w:r>
    </w:p>
    <w:tbl>
      <w:tblPr>
        <w:tblW w:w="10438" w:type="dxa"/>
        <w:jc w:val="left"/>
        <w:tblInd w:w="-13" w:type="dxa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348"/>
        <w:gridCol w:w="1527"/>
        <w:gridCol w:w="960"/>
        <w:gridCol w:w="2953"/>
        <w:gridCol w:w="1368"/>
        <w:gridCol w:w="748"/>
        <w:gridCol w:w="1509"/>
        <w:gridCol w:w="1025"/>
      </w:tblGrid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color w:val="000000"/>
                <w:sz w:val="20"/>
              </w:rPr>
              <w:t xml:space="preserve">№ </w:t>
            </w:r>
            <w:r>
              <w:rPr>
                <w:b/>
                <w:bCs/>
                <w:color w:val="000000"/>
                <w:sz w:val="20"/>
              </w:rPr>
              <w:t>п/п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color w:val="000000"/>
                <w:sz w:val="20"/>
              </w:rPr>
              <w:t>Код услуги по номенклатуре медицинских услуг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color w:val="000000"/>
                <w:sz w:val="20"/>
              </w:rPr>
              <w:t>Код услуги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color w:val="000000"/>
                <w:sz w:val="20"/>
              </w:rPr>
              <w:t>Наименование услуги (КСГ)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color w:val="000000"/>
                <w:sz w:val="20"/>
              </w:rPr>
              <w:t>Условия оказания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Единица оплаты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Коэффициент относительной затратоемкости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b/>
                <w:b/>
                <w:bCs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Тариф, руб.*</w:t>
            </w:r>
          </w:p>
        </w:tc>
      </w:tr>
      <w:tr>
        <w:trPr/>
        <w:tc>
          <w:tcPr>
            <w:tcW w:w="104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Titl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center"/>
              <w:outlineLvl w:val="0"/>
              <w:rPr>
                <w:b/>
                <w:b/>
                <w:bCs/>
              </w:rPr>
            </w:pPr>
            <w:r>
              <w:rPr>
                <w:rFonts w:cs="Times New Roman"/>
                <w:b/>
                <w:bCs/>
                <w:color w:val="000000"/>
                <w:sz w:val="20"/>
              </w:rPr>
              <w:t>Базовый тариф 5 949,00 рублей</w:t>
            </w:r>
          </w:p>
        </w:tc>
      </w:tr>
      <w:tr>
        <w:trPr/>
        <w:tc>
          <w:tcPr>
            <w:tcW w:w="1043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hanging="0"/>
              <w:jc w:val="center"/>
              <w:outlineLvl w:val="0"/>
              <w:rPr>
                <w:b/>
                <w:b/>
                <w:bCs/>
              </w:rPr>
            </w:pPr>
            <w:r>
              <w:rPr>
                <w:b/>
                <w:bCs/>
                <w:color w:val="000000"/>
                <w:sz w:val="20"/>
              </w:rPr>
              <w:t>Услуги гемодиализа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А18.05.002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4151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Гемодиализ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услуга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5 949,00</w:t>
            </w:r>
          </w:p>
        </w:tc>
      </w:tr>
      <w:tr>
        <w:trPr>
          <w:trHeight w:val="815" w:hRule="atLeast"/>
        </w:trPr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А18.05.002.002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4152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Гемодиализ</w:t>
            </w:r>
          </w:p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интермиттирующий</w:t>
            </w:r>
          </w:p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низкопоточный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услуга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5 949,00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А18.05.002.001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4153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Гемодиализ</w:t>
            </w:r>
          </w:p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интермиттирующий</w:t>
            </w:r>
          </w:p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высокопоточный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услуга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1,05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6 246,45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А18.05.011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4154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Гемодиафильтрация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услуга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1,08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6 424,92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А18.05.004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4155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Ультрафильтрация</w:t>
            </w:r>
          </w:p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крови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услуга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0,92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5 473,08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2">
              <w:r>
                <w:rPr>
                  <w:color w:val="000000"/>
                  <w:sz w:val="20"/>
                </w:rPr>
                <w:t>A18.05.002.003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4156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Гемодиализ интермиттирующий продленный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услуга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2,76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16 419,24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3">
              <w:r>
                <w:rPr>
                  <w:color w:val="000000"/>
                  <w:sz w:val="20"/>
                </w:rPr>
                <w:t>A18.05.003</w:t>
              </w:r>
            </w:hyperlink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4157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Гемофильтрация крови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услуга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17 133,12 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4">
              <w:r>
                <w:rPr>
                  <w:color w:val="000000"/>
                  <w:sz w:val="20"/>
                </w:rPr>
                <w:t>A18.05.004.001</w:t>
              </w:r>
            </w:hyperlink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4158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Ультрафильтрация продленная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услуга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14 931,99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5">
              <w:r>
                <w:rPr>
                  <w:color w:val="000000"/>
                  <w:sz w:val="20"/>
                </w:rPr>
                <w:t>A18.05.011.001</w:t>
              </w:r>
            </w:hyperlink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Гемодиафильтрация продленная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услуга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17 906,49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6">
              <w:r>
                <w:rPr>
                  <w:color w:val="000000"/>
                  <w:sz w:val="20"/>
                </w:rPr>
                <w:t>A18.05.002.005</w:t>
              </w:r>
            </w:hyperlink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4159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Гемодиализ продолжительный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сутки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31 113,27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7">
              <w:r>
                <w:rPr>
                  <w:color w:val="000000"/>
                  <w:sz w:val="20"/>
                </w:rPr>
                <w:t>A18.05.003.002</w:t>
              </w:r>
            </w:hyperlink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Гемофильтрация крови продолжительная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сутки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32 600,52</w:t>
            </w:r>
          </w:p>
        </w:tc>
      </w:tr>
      <w:tr>
        <w:trPr/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hyperlink r:id="rId8">
              <w:r>
                <w:rPr>
                  <w:color w:val="000000"/>
                  <w:sz w:val="20"/>
                </w:rPr>
                <w:t>A18.05.011.002</w:t>
              </w:r>
            </w:hyperlink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left"/>
              <w:rPr/>
            </w:pPr>
            <w:r>
              <w:rPr>
                <w:color w:val="000000"/>
                <w:sz w:val="20"/>
              </w:rPr>
              <w:t>Гемодиафильтрация продолжительная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стационарно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сутки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5,73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34 087,77</w:t>
            </w:r>
          </w:p>
        </w:tc>
      </w:tr>
      <w:tr>
        <w:trPr/>
        <w:tc>
          <w:tcPr>
            <w:tcW w:w="1043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numPr>
                <w:ilvl w:val="0"/>
                <w:numId w:val="0"/>
              </w:numPr>
              <w:shd w:val="clear" w:color="auto" w:fill="auto"/>
              <w:tabs>
                <w:tab w:val="clear" w:pos="720"/>
                <w:tab w:val="left" w:pos="426" w:leader="none"/>
              </w:tabs>
              <w:ind w:left="0" w:hanging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Услуги перитонеального диализа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А18.30.001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4161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Перитонеальный</w:t>
            </w:r>
          </w:p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диализ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день обмена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5 949,00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А18.30.001.001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4162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Перитонеальный диализ проточный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день обмена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4,92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29 269,08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А18.30.001.002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4163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Перитонеальный диализ с использованием автоматизированных технологий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день обмена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1,24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7 376,76</w:t>
            </w:r>
          </w:p>
        </w:tc>
      </w:tr>
      <w:tr>
        <w:trPr/>
        <w:tc>
          <w:tcPr>
            <w:tcW w:w="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/>
            </w:pPr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А18.30.001.003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4164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left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Перитонеальный диализ при нарушении ультрафильтрации</w:t>
            </w:r>
          </w:p>
        </w:tc>
        <w:tc>
          <w:tcPr>
            <w:tcW w:w="1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стационарно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день обмена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2"/>
              <w:shd w:val="clear" w:color="auto" w:fill="auto"/>
              <w:tabs>
                <w:tab w:val="clear" w:pos="720"/>
                <w:tab w:val="left" w:pos="426" w:leader="none"/>
              </w:tabs>
              <w:ind w:hanging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1,09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6 484,41</w:t>
            </w:r>
          </w:p>
        </w:tc>
      </w:tr>
    </w:tbl>
    <w:p>
      <w:pPr>
        <w:pStyle w:val="ConsPlusTitle"/>
        <w:spacing w:before="0" w:after="0"/>
        <w:contextualSpacing/>
        <w:jc w:val="both"/>
        <w:rPr>
          <w:rFonts w:cs="Times New Roman"/>
          <w:b w:val="false"/>
          <w:b w:val="false"/>
          <w:sz w:val="20"/>
        </w:rPr>
      </w:pPr>
      <w:r>
        <w:rPr>
          <w:rFonts w:cs="Times New Roman"/>
          <w:b w:val="false"/>
          <w:sz w:val="20"/>
        </w:rPr>
        <w:t>* - уровневый коэффициент не распространяется на тариф</w:t>
      </w:r>
    </w:p>
    <w:sectPr>
      <w:type w:val="nextPage"/>
      <w:pgSz w:w="11906" w:h="16838"/>
      <w:pgMar w:left="1188" w:right="518" w:header="0" w:top="964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2fee"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rPr>
      <w:color w:val="000080"/>
      <w:u w:val="single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ind w:firstLine="709"/>
      <w:jc w:val="left"/>
    </w:pPr>
    <w:rPr>
      <w:rFonts w:ascii="Times New Roman" w:hAnsi="Times New Roman" w:eastAsia="Times New Roman" w:cs="Calibri"/>
      <w:b/>
      <w:color w:val="auto"/>
      <w:kern w:val="0"/>
      <w:sz w:val="24"/>
      <w:szCs w:val="20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09"/>
      <w:jc w:val="left"/>
    </w:pPr>
    <w:rPr>
      <w:rFonts w:ascii="Times New Roman" w:hAnsi="Times New Roman" w:eastAsia="Times New Roman" w:cs="Calibri"/>
      <w:color w:val="auto"/>
      <w:kern w:val="0"/>
      <w:sz w:val="24"/>
      <w:szCs w:val="20"/>
      <w:lang w:val="ru-RU" w:eastAsia="ru-RU" w:bidi="ar-SA"/>
    </w:rPr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Style22">
    <w:name w:val="Другое"/>
    <w:basedOn w:val="Normal"/>
    <w:qFormat/>
    <w:pPr>
      <w:widowControl w:val="false"/>
      <w:shd w:val="clear" w:color="auto" w:fill="FFFFFF"/>
      <w:spacing w:lineRule="auto" w:line="240" w:before="0" w:after="0"/>
      <w:ind w:firstLine="400"/>
      <w:jc w:val="both"/>
    </w:pPr>
    <w:rPr>
      <w:rFonts w:ascii="Times New Roman" w:hAnsi="Times New Roman" w:eastAsia="Times New Roman" w:cs="Times New Roma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0C94E1B5801B16CC2FB9342B28BE55CDA52F3225ABC15091B5DAFA470752663498420AD713D7FFCB71E4AEA9BC1547957A16F04D619E802hBs0O" TargetMode="External"/><Relationship Id="rId3" Type="http://schemas.openxmlformats.org/officeDocument/2006/relationships/hyperlink" Target="consultantplus://offline/ref=50C94E1B5801B16CC2FB9342B28BE55CDA52F3225ABC15091B5DAFA470752663498420AD713D7FFDB31E4AEA9BC1547957A16F04D619E802hBs0O" TargetMode="External"/><Relationship Id="rId4" Type="http://schemas.openxmlformats.org/officeDocument/2006/relationships/hyperlink" Target="consultantplus://offline/ref=50C94E1B5801B16CC2FB9342B28BE55CDA52F3225ABC15091B5DAFA470752663498420AD713D7FFAB11E4AEA9BC1547957A16F04D619E802hBs0O" TargetMode="External"/><Relationship Id="rId5" Type="http://schemas.openxmlformats.org/officeDocument/2006/relationships/hyperlink" Target="consultantplus://offline/ref=50C94E1B5801B16CC2FB9342B28BE55CDA52F3225ABC15091B5DAFA470752663498420AD713D7FFBB91E4AEA9BC1547957A16F04D619E802hBs0O" TargetMode="External"/><Relationship Id="rId6" Type="http://schemas.openxmlformats.org/officeDocument/2006/relationships/hyperlink" Target="consultantplus://offline/ref=50C94E1B5801B16CC2FB9342B28BE55CDA52F3225ABC15091B5DAFA470752663498420AD713D7FFDB11E4AEA9BC1547957A16F04D619E802hBs0O" TargetMode="External"/><Relationship Id="rId7" Type="http://schemas.openxmlformats.org/officeDocument/2006/relationships/hyperlink" Target="consultantplus://offline/ref=50C94E1B5801B16CC2FB9342B28BE55CDA52F3225ABC15091B5DAFA470752663498420AD713D7FFDB71E4AEA9BC1547957A16F04D619E802hBs0O" TargetMode="External"/><Relationship Id="rId8" Type="http://schemas.openxmlformats.org/officeDocument/2006/relationships/hyperlink" Target="consultantplus://offline/ref=50C94E1B5801B16CC2FB9342B28BE55CDA52F3225ABC15091B5DAFA470752663498420AD713D7FF8B11E4AEA9BC1547957A16F04D619E802hBs0O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Application>LibreOffice/6.4.5.2$Windows_X86_64 LibreOffice_project/a726b36747cf2001e06b58ad5db1aa3a9a1872d6</Application>
  <Pages>1</Pages>
  <Words>239</Words>
  <Characters>1666</Characters>
  <CharactersWithSpaces>1756</CharactersWithSpaces>
  <Paragraphs>151</Paragraphs>
  <Company>КонсультантПлюс Версия 4021.00.65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2022-05-06T17:44:00Z</dcterms:created>
  <dc:creator>Алексей Баклушин</dc:creator>
  <dc:description/>
  <dc:language>ru-RU</dc:language>
  <cp:lastModifiedBy/>
  <cp:lastPrinted>2023-04-06T09:11:35Z</cp:lastPrinted>
  <dcterms:modified xsi:type="dcterms:W3CDTF">2023-04-06T11:00:42Z</dcterms:modified>
  <cp:revision>20</cp:revision>
  <dc:subject/>
  <dc:title>&lt;Письмо&gt; Минздрава России от 04.02.2022 N 11-7/И/2-1631"О методических рекомендациях по способам оплаты медицинской помощи за счет средств обязательного медицинского страхования"(вместе с "Методическими рекомендациями по способам оплаты медицинской помощи за счет средств обязательного медицинского страхования", утв. Минздравом России N 11-7/И/2-1619, ФФОМС N 00-10-26-2-06/750 02.02.2022)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4021.00.65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